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Health Bill – Single Patient Record Amendments  (20 May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t xml:space="preserve">(</w:t>
      </w:r>
      <w:hyperlink r:id="rId6">
        <w:r w:rsidDel="00000000" w:rsidR="00000000" w:rsidRPr="00000000">
          <w:rPr>
            <w:color w:val="1155cc"/>
            <w:u w:val="single"/>
            <w:rtl w:val="0"/>
          </w:rPr>
          <w:t xml:space="preserve">background on the Bill</w:t>
        </w:r>
      </w:hyperlink>
      <w:r w:rsidDel="00000000" w:rsidR="00000000" w:rsidRPr="00000000">
        <w:rPr>
          <w:rtl w:val="0"/>
        </w:rPr>
        <w:t xml:space="preserve"> - </w:t>
      </w:r>
      <w:hyperlink r:id="rId7">
        <w:r w:rsidDel="00000000" w:rsidR="00000000" w:rsidRPr="00000000">
          <w:rPr>
            <w:color w:val="1155cc"/>
            <w:u w:val="single"/>
            <w:rtl w:val="0"/>
          </w:rPr>
          <w:t xml:space="preserve">Bill text PDF as laid</w:t>
        </w:r>
      </w:hyperlink>
      <w:r w:rsidDel="00000000" w:rsidR="00000000" w:rsidRPr="00000000">
        <w:rPr>
          <w:rtl w:val="0"/>
        </w:rPr>
        <w:t xml:space="preserve">). </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Changes to the Bill are numbered, then probing amendments with letters.</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t xml:space="preserve">DH wants everything with no constraints – it’s no wonder </w:t>
      </w:r>
      <w:hyperlink r:id="rId8">
        <w:r w:rsidDel="00000000" w:rsidR="00000000" w:rsidRPr="00000000">
          <w:rPr>
            <w:color w:val="1155cc"/>
            <w:u w:val="single"/>
            <w:rtl w:val="0"/>
          </w:rPr>
          <w:t xml:space="preserve">Biobank</w:t>
        </w:r>
      </w:hyperlink>
      <w:r w:rsidDel="00000000" w:rsidR="00000000" w:rsidRPr="00000000">
        <w:rPr>
          <w:rtl w:val="0"/>
        </w:rPr>
        <w:t xml:space="preserve"> thought they </w:t>
      </w:r>
      <w:hyperlink r:id="rId9">
        <w:r w:rsidDel="00000000" w:rsidR="00000000" w:rsidRPr="00000000">
          <w:rPr>
            <w:color w:val="1155cc"/>
            <w:u w:val="single"/>
            <w:rtl w:val="0"/>
          </w:rPr>
          <w:t xml:space="preserve">could do</w:t>
        </w:r>
      </w:hyperlink>
      <w:r w:rsidDel="00000000" w:rsidR="00000000" w:rsidRPr="00000000">
        <w:rPr>
          <w:rtl w:val="0"/>
        </w:rPr>
        <w:t xml:space="preserve"> what </w:t>
      </w:r>
      <w:hyperlink r:id="rId10">
        <w:r w:rsidDel="00000000" w:rsidR="00000000" w:rsidRPr="00000000">
          <w:rPr>
            <w:color w:val="1155cc"/>
            <w:u w:val="single"/>
            <w:rtl w:val="0"/>
          </w:rPr>
          <w:t xml:space="preserve">they did</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720" w:firstLine="0"/>
        <w:rPr>
          <w:i w:val="1"/>
          <w:iCs w:val="1"/>
        </w:rPr>
      </w:pPr>
      <w:r w:rsidDel="00000000" w:rsidR="00000000" w:rsidRPr="00000000">
        <w:rPr>
          <w:i w:val="1"/>
          <w:iCs w:val="1"/>
          <w:rtl w:val="0"/>
        </w:rPr>
        <w:t xml:space="preserve">Immediately: MPs can vote against the programme motion to give more time for assessment and discussion – none of that happened before the Bill was published. Voting down the programme motion is a wait for Andy Burnham to reset this process and take input from stakeholders beyond the incumbent supplier.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Amendments:</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ind w:left="0" w:firstLine="0"/>
        <w:rPr>
          <w:b w:val="1"/>
          <w:bCs w:val="1"/>
        </w:rPr>
      </w:pPr>
      <w:r w:rsidDel="00000000" w:rsidR="00000000" w:rsidRPr="00000000">
        <w:rPr>
          <w:b w:val="1"/>
          <w:bCs w:val="1"/>
          <w:rtl w:val="0"/>
        </w:rPr>
        <w:t xml:space="preserve">1. Define the SPR (and enshrine patient control)</w:t>
      </w:r>
    </w:p>
    <w:p w:rsidR="00000000" w:rsidDel="00000000" w:rsidP="00000000" w:rsidRDefault="00000000" w:rsidRPr="00000000" w14:paraId="0000000E">
      <w:pPr>
        <w:ind w:left="0" w:firstLine="0"/>
        <w:rPr>
          <w:b w:val="1"/>
          <w:bCs w:val="1"/>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t xml:space="preserve">Amendment to clause 47(2)(</w:t>
      </w:r>
      <w:hyperlink r:id="rId11">
        <w:r w:rsidDel="00000000" w:rsidR="00000000" w:rsidRPr="00000000">
          <w:rPr>
            <w:color w:val="1155cc"/>
            <w:u w:val="single"/>
            <w:rtl w:val="0"/>
          </w:rPr>
          <w:t xml:space="preserve">250E</w:t>
        </w:r>
      </w:hyperlink>
      <w:r w:rsidDel="00000000" w:rsidR="00000000" w:rsidRPr="00000000">
        <w:rPr>
          <w:rtl w:val="0"/>
        </w:rPr>
        <w:t xml:space="preserve">), insert at start:</w:t>
      </w:r>
    </w:p>
    <w:p w:rsidR="00000000" w:rsidDel="00000000" w:rsidP="00000000" w:rsidRDefault="00000000" w:rsidRPr="00000000" w14:paraId="00000010">
      <w:pPr>
        <w:numPr>
          <w:ilvl w:val="0"/>
          <w:numId w:val="1"/>
        </w:numPr>
        <w:ind w:left="1440" w:hanging="360"/>
        <w:rPr>
          <w:u w:val="none"/>
        </w:rPr>
      </w:pPr>
      <w:r w:rsidDel="00000000" w:rsidR="00000000" w:rsidRPr="00000000">
        <w:rPr>
          <w:rtl w:val="0"/>
        </w:rPr>
        <w:t xml:space="preserve">The Single Patient Record exists to process patient information for patient care.</w:t>
      </w:r>
    </w:p>
    <w:p w:rsidR="00000000" w:rsidDel="00000000" w:rsidP="00000000" w:rsidRDefault="00000000" w:rsidRPr="00000000" w14:paraId="00000011">
      <w:pPr>
        <w:numPr>
          <w:ilvl w:val="0"/>
          <w:numId w:val="1"/>
        </w:numPr>
        <w:ind w:left="1440" w:hanging="360"/>
        <w:rPr>
          <w:u w:val="none"/>
        </w:rPr>
      </w:pPr>
      <w:r w:rsidDel="00000000" w:rsidR="00000000" w:rsidRPr="00000000">
        <w:rPr>
          <w:rtl w:val="0"/>
        </w:rPr>
        <w:t xml:space="preserve">Processing of data within the Single Patient Record must respect any choices or objections expressed by a patient to some or all of their information being processed by the system in this section.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 xml:space="preserve">Explanation: require patient wishes to be followed, and give a clarion vision for what the SPR should be.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Member speaking note: In a section of a Bill that is supposed to be offering a better service to patients, it is perverse to force them to accept it whether they like it or not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2. There’s currently no punishment for misuse</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ind w:left="720" w:firstLine="0"/>
        <w:rPr>
          <w:b w:val="1"/>
          <w:bCs w:val="1"/>
        </w:rPr>
      </w:pPr>
      <w:r w:rsidDel="00000000" w:rsidR="00000000" w:rsidRPr="00000000">
        <w:rPr>
          <w:rtl w:val="0"/>
        </w:rPr>
        <w:t xml:space="preserve">Amend </w:t>
      </w:r>
      <w:r w:rsidDel="00000000" w:rsidR="00000000" w:rsidRPr="00000000">
        <w:rPr>
          <w:rtl w:val="0"/>
        </w:rPr>
        <w:t xml:space="preserve">250E(7)</w:t>
      </w:r>
      <w:r w:rsidDel="00000000" w:rsidR="00000000" w:rsidRPr="00000000">
        <w:rPr>
          <w:rtl w:val="0"/>
        </w:rPr>
        <w:t xml:space="preserve"> to add at start:</w:t>
      </w:r>
      <w:r w:rsidDel="00000000" w:rsidR="00000000" w:rsidRPr="00000000">
        <w:rPr>
          <w:rtl w:val="0"/>
        </w:rPr>
      </w:r>
    </w:p>
    <w:p w:rsidR="00000000" w:rsidDel="00000000" w:rsidP="00000000" w:rsidRDefault="00000000" w:rsidRPr="00000000" w14:paraId="0000001B">
      <w:pPr>
        <w:ind w:left="1440" w:firstLine="0"/>
        <w:rPr/>
      </w:pPr>
      <w:r w:rsidDel="00000000" w:rsidR="00000000" w:rsidRPr="00000000">
        <w:rPr>
          <w:rtl w:val="0"/>
        </w:rPr>
        <w:t xml:space="preserve">“ </w:t>
      </w:r>
      <w:r w:rsidDel="00000000" w:rsidR="00000000" w:rsidRPr="00000000">
        <w:rPr>
          <w:rtl w:val="0"/>
        </w:rPr>
        <w:t xml:space="preserve">“adequate safeguard” must include criminal offences for individuals under s170 of the Data Protection Act 2018.”</w:t>
      </w:r>
    </w:p>
    <w:p w:rsidR="00000000" w:rsidDel="00000000" w:rsidP="00000000" w:rsidRDefault="00000000" w:rsidRPr="00000000" w14:paraId="0000001C">
      <w:pPr>
        <w:ind w:left="0" w:firstLine="0"/>
        <w:rPr>
          <w:color w:val="ff990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t xml:space="preserve">Explanation: ensure meaningful sanction for abuses of the patient information.</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t xml:space="preserve">Speaking note: The Health Service Journal has reported that victims of </w:t>
      </w:r>
      <w:hyperlink r:id="rId12">
        <w:r w:rsidDel="00000000" w:rsidR="00000000" w:rsidRPr="00000000">
          <w:rPr>
            <w:color w:val="1155cc"/>
            <w:u w:val="single"/>
            <w:rtl w:val="0"/>
          </w:rPr>
          <w:t xml:space="preserve">Nottingham</w:t>
        </w:r>
      </w:hyperlink>
      <w:r w:rsidDel="00000000" w:rsidR="00000000" w:rsidRPr="00000000">
        <w:rPr>
          <w:rtl w:val="0"/>
        </w:rPr>
        <w:t xml:space="preserve"> and </w:t>
      </w:r>
      <w:hyperlink r:id="rId13">
        <w:r w:rsidDel="00000000" w:rsidR="00000000" w:rsidRPr="00000000">
          <w:rPr>
            <w:color w:val="1155cc"/>
            <w:u w:val="single"/>
            <w:rtl w:val="0"/>
          </w:rPr>
          <w:t xml:space="preserve">Southport</w:t>
        </w:r>
      </w:hyperlink>
      <w:r w:rsidDel="00000000" w:rsidR="00000000" w:rsidRPr="00000000">
        <w:rPr>
          <w:rtl w:val="0"/>
        </w:rPr>
        <w:t xml:space="preserve"> attacks had their patient records accessed by creeps and voyeurs who had access to the systems. This Bill grants that access all across the British Islands, to anywhere the NHS logo is seen, there need to be meaningful sanctions for abuse, even when that abuse is outside of England, and especially when that abuse is outside of England and Wales in other “British Islands”, so where are the sanctions?</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b w:val="1"/>
          <w:bCs w:val="1"/>
        </w:rPr>
      </w:pPr>
      <w:r w:rsidDel="00000000" w:rsidR="00000000" w:rsidRPr="00000000">
        <w:rPr>
          <w:b w:val="1"/>
          <w:bCs w:val="1"/>
          <w:rtl w:val="0"/>
        </w:rPr>
        <w:t xml:space="preserve">3. Statutory Basis for the National NHS Data Opt Out </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t xml:space="preserve">Amendment:</w:t>
      </w:r>
    </w:p>
    <w:p w:rsidR="00000000" w:rsidDel="00000000" w:rsidP="00000000" w:rsidRDefault="00000000" w:rsidRPr="00000000" w14:paraId="00000026">
      <w:pPr>
        <w:ind w:left="720" w:firstLine="720"/>
        <w:rPr/>
      </w:pPr>
      <w:r w:rsidDel="00000000" w:rsidR="00000000" w:rsidRPr="00000000">
        <w:rPr>
          <w:rtl w:val="0"/>
        </w:rPr>
        <w:t xml:space="preserve">Schedule 7 (11) (261) (2), insert as new:</w:t>
      </w:r>
    </w:p>
    <w:p w:rsidR="00000000" w:rsidDel="00000000" w:rsidP="00000000" w:rsidRDefault="00000000" w:rsidRPr="00000000" w14:paraId="00000027">
      <w:pPr>
        <w:ind w:left="2160" w:firstLine="0"/>
        <w:rPr/>
      </w:pPr>
      <w:r w:rsidDel="00000000" w:rsidR="00000000" w:rsidRPr="00000000">
        <w:rPr>
          <w:rtl w:val="0"/>
        </w:rPr>
        <w:t xml:space="preserve">(b) The NHS Data Opt Out shall prohibit any processing of “patient information” or the “Single Patient Record” that is not solely for exempt purpose(s) specified in Regulations,</w:t>
      </w:r>
    </w:p>
    <w:p w:rsidR="00000000" w:rsidDel="00000000" w:rsidP="00000000" w:rsidRDefault="00000000" w:rsidRPr="00000000" w14:paraId="00000028">
      <w:pPr>
        <w:ind w:left="2160" w:firstLine="0"/>
        <w:rPr/>
      </w:pPr>
      <w:r w:rsidDel="00000000" w:rsidR="00000000" w:rsidRPr="00000000">
        <w:rPr>
          <w:rtl w:val="0"/>
        </w:rPr>
        <w:t xml:space="preserve">(c) All “patient information” in the Single Patient Record shall be considered Confidential Patient Information,</w:t>
      </w:r>
    </w:p>
    <w:p w:rsidR="00000000" w:rsidDel="00000000" w:rsidP="00000000" w:rsidRDefault="00000000" w:rsidRPr="00000000" w14:paraId="00000029">
      <w:pPr>
        <w:ind w:left="144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i w:val="1"/>
          <w:iCs w:val="1"/>
          <w:rtl w:val="0"/>
        </w:rPr>
        <w:t xml:space="preserve">Explanation</w:t>
      </w:r>
      <w:r w:rsidDel="00000000" w:rsidR="00000000" w:rsidRPr="00000000">
        <w:rPr>
          <w:rtl w:val="0"/>
        </w:rPr>
        <w:t xml:space="preserve">: give statutory basis to the (English) National NHS Data Opt Out  where the exempt purposes should primarily be Direct Care.</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i w:val="1"/>
          <w:iCs w:val="1"/>
          <w:rtl w:val="0"/>
        </w:rPr>
        <w:t xml:space="preserve">Speaking note</w:t>
      </w:r>
      <w:r w:rsidDel="00000000" w:rsidR="00000000" w:rsidRPr="00000000">
        <w:rPr>
          <w:rtl w:val="0"/>
        </w:rPr>
        <w:t xml:space="preserve">: Patient confidence requires the (English) National NHS Data opt out should be on a statutory footing, and this amendment does that. </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b w:val="1"/>
          <w:bCs w:val="1"/>
          <w:rtl w:val="0"/>
        </w:rPr>
        <w:t xml:space="preserve">4. Revoke the Direction that allows UK Biobank to reuse pandemic-only GP data</w:t>
      </w: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720"/>
        <w:rPr/>
      </w:pPr>
      <w:r w:rsidDel="00000000" w:rsidR="00000000" w:rsidRPr="00000000">
        <w:rPr>
          <w:rtl w:val="0"/>
        </w:rPr>
        <w:t xml:space="preserve">Amendment:</w:t>
      </w:r>
    </w:p>
    <w:p w:rsidR="00000000" w:rsidDel="00000000" w:rsidP="00000000" w:rsidRDefault="00000000" w:rsidRPr="00000000" w14:paraId="00000032">
      <w:pPr>
        <w:ind w:left="0" w:firstLine="720"/>
        <w:rPr/>
      </w:pPr>
      <w:r w:rsidDel="00000000" w:rsidR="00000000" w:rsidRPr="00000000">
        <w:rPr>
          <w:rtl w:val="0"/>
        </w:rPr>
        <w:tab/>
        <w:t xml:space="preserve">Schedule 11, insert at start:</w:t>
      </w:r>
    </w:p>
    <w:p w:rsidR="00000000" w:rsidDel="00000000" w:rsidP="00000000" w:rsidRDefault="00000000" w:rsidRPr="00000000" w14:paraId="00000033">
      <w:pPr>
        <w:ind w:left="1440" w:firstLine="720"/>
        <w:rPr/>
      </w:pPr>
      <w:r w:rsidDel="00000000" w:rsidR="00000000" w:rsidRPr="00000000">
        <w:rPr>
          <w:rtl w:val="0"/>
        </w:rPr>
        <w:t xml:space="preserve">(1) The </w:t>
      </w:r>
      <w:hyperlink r:id="rId14">
        <w:r w:rsidDel="00000000" w:rsidR="00000000" w:rsidRPr="00000000">
          <w:rPr>
            <w:color w:val="1155cc"/>
            <w:u w:val="single"/>
            <w:rtl w:val="0"/>
          </w:rPr>
          <w:t xml:space="preserve">GPES Data for Consented Research Directions 2026</w:t>
        </w:r>
      </w:hyperlink>
      <w:r w:rsidDel="00000000" w:rsidR="00000000" w:rsidRPr="00000000">
        <w:rPr>
          <w:rtl w:val="0"/>
        </w:rPr>
        <w:t xml:space="preserve"> are repealed.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i w:val="1"/>
          <w:iCs w:val="1"/>
          <w:rtl w:val="0"/>
        </w:rPr>
        <w:t xml:space="preserve">Explanation</w:t>
      </w:r>
      <w:r w:rsidDel="00000000" w:rsidR="00000000" w:rsidRPr="00000000">
        <w:rPr>
          <w:rtl w:val="0"/>
        </w:rPr>
        <w:t xml:space="preserve">: Express will of Parliament to formally repeal a Direction superseded by this Bill.</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i w:val="1"/>
          <w:iCs w:val="1"/>
          <w:rtl w:val="0"/>
        </w:rPr>
        <w:t xml:space="preserve">Speaking note</w:t>
      </w:r>
      <w:r w:rsidDel="00000000" w:rsidR="00000000" w:rsidRPr="00000000">
        <w:rPr>
          <w:rtl w:val="0"/>
        </w:rPr>
        <w:t xml:space="preserve">: During the pandemic, GP data was collected under pandemic emergency powers with a promise to patients and GPs that it would only be used for pandemic purposes. A new Secretary of State decided to rip up that promise because it was expedient for him – he had the data so why shouldn’t he? It undermines trust, it undermines confidence, and since the Single Patient Record will rely on trust and confidence,  we repeal these Directions to make it clear to the system, to patients, and to those who wish to predate on both, that promises have to be kept. If not, why should patients trust any of the promises being made about the broad Regulation making powers in this Bill?</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0" w:firstLine="0"/>
        <w:rPr>
          <w:b w:val="1"/>
          <w:bCs w:val="1"/>
        </w:rPr>
      </w:pPr>
      <w:r w:rsidDel="00000000" w:rsidR="00000000" w:rsidRPr="00000000">
        <w:rPr>
          <w:b w:val="1"/>
          <w:bCs w:val="1"/>
          <w:rtl w:val="0"/>
        </w:rPr>
        <w:t xml:space="preserve">5. Prevent NHS data being resold from tax havens</w:t>
      </w:r>
    </w:p>
    <w:p w:rsidR="00000000" w:rsidDel="00000000" w:rsidP="00000000" w:rsidRDefault="00000000" w:rsidRPr="00000000" w14:paraId="0000003B">
      <w:pPr>
        <w:ind w:left="0" w:firstLine="0"/>
        <w:rPr>
          <w:b w:val="1"/>
          <w:bCs w:val="1"/>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ab/>
        <w:t xml:space="preserve">Amendment:</w:t>
      </w:r>
    </w:p>
    <w:p w:rsidR="00000000" w:rsidDel="00000000" w:rsidP="00000000" w:rsidRDefault="00000000" w:rsidRPr="00000000" w14:paraId="0000003D">
      <w:pPr>
        <w:ind w:left="1440" w:firstLine="0"/>
        <w:rPr/>
      </w:pPr>
      <w:r w:rsidDel="00000000" w:rsidR="00000000" w:rsidRPr="00000000">
        <w:rPr>
          <w:rtl w:val="0"/>
        </w:rPr>
        <w:t xml:space="preserve">Schedule 7 (11) (261) (2), insert as</w:t>
      </w:r>
    </w:p>
    <w:p w:rsidR="00000000" w:rsidDel="00000000" w:rsidP="00000000" w:rsidRDefault="00000000" w:rsidRPr="00000000" w14:paraId="0000003E">
      <w:pPr>
        <w:ind w:left="2160" w:firstLine="0"/>
        <w:rPr/>
      </w:pPr>
      <w:r w:rsidDel="00000000" w:rsidR="00000000" w:rsidRPr="00000000">
        <w:rPr>
          <w:rtl w:val="0"/>
        </w:rPr>
        <w:t xml:space="preserve">(b) “Relevant advice” under s262A has been received and followed describing the process and representatives necessary for decision making for data sourced from a) England, b) each relevant jurisdiction outside of England.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i w:val="1"/>
          <w:iCs w:val="1"/>
          <w:rtl w:val="0"/>
        </w:rPr>
        <w:t xml:space="preserve">Explanation</w:t>
      </w:r>
      <w:r w:rsidDel="00000000" w:rsidR="00000000" w:rsidRPr="00000000">
        <w:rPr>
          <w:rtl w:val="0"/>
        </w:rPr>
        <w:t xml:space="preserve">: Decisions about data of patients in England must be informed by English advice, advice from multiple jurisdictions should include input from each jurisdiction.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i w:val="1"/>
          <w:iCs w:val="1"/>
          <w:rtl w:val="0"/>
        </w:rPr>
        <w:t xml:space="preserve">Speaking Note</w:t>
      </w:r>
      <w:r w:rsidDel="00000000" w:rsidR="00000000" w:rsidRPr="00000000">
        <w:rPr>
          <w:rtl w:val="0"/>
        </w:rPr>
        <w:t xml:space="preserve">: Decisions about data of patients in England must be informed by English advice, advice from multiple jurisdictions should include input from each jurisdiction.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rtl w:val="0"/>
        </w:rPr>
      </w:r>
    </w:p>
    <w:p w:rsidR="00000000" w:rsidDel="00000000" w:rsidP="00000000" w:rsidRDefault="00000000" w:rsidRPr="00000000" w14:paraId="00000046">
      <w:pPr>
        <w:pStyle w:val="Heading2"/>
        <w:rPr/>
      </w:pPr>
      <w:bookmarkStart w:colFirst="0" w:colLast="0" w:name="_hy248nn0dcjq" w:id="0"/>
      <w:bookmarkEnd w:id="0"/>
      <w:r w:rsidDel="00000000" w:rsidR="00000000" w:rsidRPr="00000000">
        <w:rPr>
          <w:rtl w:val="0"/>
        </w:rPr>
        <w:t xml:space="preserve">Probing Amendments</w:t>
      </w:r>
    </w:p>
    <w:p w:rsidR="00000000" w:rsidDel="00000000" w:rsidP="00000000" w:rsidRDefault="00000000" w:rsidRPr="00000000" w14:paraId="00000047">
      <w:pPr>
        <w:rPr>
          <w:b w:val="1"/>
          <w:bCs w:val="1"/>
        </w:rPr>
      </w:pP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b w:val="1"/>
          <w:bCs w:val="1"/>
          <w:rtl w:val="0"/>
        </w:rPr>
        <w:t xml:space="preserve">Probing Amendment A: inappropriate access of the records of terrorism victims</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ab/>
        <w:t xml:space="preserve">Amendment:</w:t>
      </w:r>
    </w:p>
    <w:p w:rsidR="00000000" w:rsidDel="00000000" w:rsidP="00000000" w:rsidRDefault="00000000" w:rsidRPr="00000000" w14:paraId="0000004B">
      <w:pPr>
        <w:ind w:left="720" w:firstLine="720"/>
        <w:rPr/>
      </w:pPr>
      <w:r w:rsidDel="00000000" w:rsidR="00000000" w:rsidRPr="00000000">
        <w:rPr>
          <w:rtl w:val="0"/>
        </w:rPr>
        <w:t xml:space="preserve">Replace full stop at end of 47(2) 250E(4) with a comma and append:</w:t>
      </w:r>
    </w:p>
    <w:p w:rsidR="00000000" w:rsidDel="00000000" w:rsidP="00000000" w:rsidRDefault="00000000" w:rsidRPr="00000000" w14:paraId="0000004C">
      <w:pPr>
        <w:numPr>
          <w:ilvl w:val="0"/>
          <w:numId w:val="2"/>
        </w:numPr>
        <w:ind w:left="2160" w:hanging="360"/>
      </w:pPr>
      <w:r w:rsidDel="00000000" w:rsidR="00000000" w:rsidRPr="00000000">
        <w:rPr>
          <w:rtl w:val="0"/>
        </w:rPr>
        <w:t xml:space="preserve">Such safeguards must include sufficient information for a patient to understand who, when, where, what and why their record was accessed</w:t>
      </w:r>
    </w:p>
    <w:p w:rsidR="00000000" w:rsidDel="00000000" w:rsidP="00000000" w:rsidRDefault="00000000" w:rsidRPr="00000000" w14:paraId="0000004D">
      <w:pPr>
        <w:ind w:left="720" w:firstLine="0"/>
        <w:rPr/>
      </w:pPr>
      <w:r w:rsidDel="00000000" w:rsidR="00000000" w:rsidRPr="00000000">
        <w:rPr>
          <w:rtl w:val="0"/>
        </w:rPr>
      </w:r>
    </w:p>
    <w:p w:rsidR="00000000" w:rsidDel="00000000" w:rsidP="00000000" w:rsidRDefault="00000000" w:rsidRPr="00000000" w14:paraId="0000004E">
      <w:pPr>
        <w:ind w:left="720" w:firstLine="0"/>
        <w:rPr/>
      </w:pPr>
      <w:r w:rsidDel="00000000" w:rsidR="00000000" w:rsidRPr="00000000">
        <w:rPr>
          <w:rtl w:val="0"/>
        </w:rPr>
        <w:t xml:space="preserve">Explanation: patients should see how their personal information is accessed for care, secondary uses, and available to the administrators at suppliers of federated data systems</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rtl w:val="0"/>
        </w:rPr>
        <w:t xml:space="preserve">Speaking Note: The victims of the southport attacks had their records creeped by those with access, victims of the Nottingham attacks had the same, and other patients with police involvement have evidenced this too. Are the safeguards proposed by the Minister going to tell people how their data is used, or have the institutions of the NHS once again sided with the staff who creep on patients over the patients themselves? </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0" w:firstLine="0"/>
        <w:rPr>
          <w:b w:val="1"/>
          <w:bCs w:val="1"/>
        </w:rPr>
      </w:pPr>
      <w:r w:rsidDel="00000000" w:rsidR="00000000" w:rsidRPr="00000000">
        <w:rPr>
          <w:b w:val="1"/>
          <w:bCs w:val="1"/>
          <w:rtl w:val="0"/>
        </w:rPr>
        <w:t xml:space="preserve">B: Future pandemic preparedness</w:t>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tab/>
        <w:t xml:space="preserve">Amendment:</w:t>
      </w:r>
    </w:p>
    <w:p w:rsidR="00000000" w:rsidDel="00000000" w:rsidP="00000000" w:rsidRDefault="00000000" w:rsidRPr="00000000" w14:paraId="00000056">
      <w:pPr>
        <w:ind w:left="1440" w:firstLine="0"/>
        <w:rPr/>
      </w:pPr>
      <w:r w:rsidDel="00000000" w:rsidR="00000000" w:rsidRPr="00000000">
        <w:rPr>
          <w:rtl w:val="0"/>
        </w:rPr>
        <w:t xml:space="preserve">Append to 250E (6)</w:t>
      </w:r>
    </w:p>
    <w:p w:rsidR="00000000" w:rsidDel="00000000" w:rsidP="00000000" w:rsidRDefault="00000000" w:rsidRPr="00000000" w14:paraId="00000057">
      <w:pPr>
        <w:ind w:left="2160" w:firstLine="0"/>
        <w:rPr/>
      </w:pPr>
      <w:r w:rsidDel="00000000" w:rsidR="00000000" w:rsidRPr="00000000">
        <w:rPr>
          <w:rtl w:val="0"/>
        </w:rPr>
        <w:t xml:space="preserve">Patient information processed under Regulation 3 of the Control of Patient Information Regulations 2002 or the Public Health Act 1984 shall be used for no additional purposes</w:t>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ab/>
        <w:t xml:space="preserve">Explanation: ensure data added in an emergency is not misused afterwards</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rtl w:val="0"/>
        </w:rPr>
        <w:t xml:space="preserve">Speaking note: In April 2020 GP data was collected under the promise it would only be used for the pandemic. In February 2026 that </w:t>
      </w:r>
      <w:hyperlink r:id="rId15">
        <w:r w:rsidDel="00000000" w:rsidR="00000000" w:rsidRPr="00000000">
          <w:rPr>
            <w:color w:val="1155cc"/>
            <w:u w:val="single"/>
            <w:rtl w:val="0"/>
          </w:rPr>
          <w:t xml:space="preserve">promise was ripped up</w:t>
        </w:r>
      </w:hyperlink>
      <w:r w:rsidDel="00000000" w:rsidR="00000000" w:rsidRPr="00000000">
        <w:rPr>
          <w:rtl w:val="0"/>
        </w:rPr>
        <w:t xml:space="preserve"> as a new Secretary of State decided that previous promises didn’t bind him, data to be handed to UK Biobank who shortly after the announcement suspended access after a series of breaches. Where in the Bill is there a mechanism to stop such promises being made and broken in the future? Or is it the Government’s position that a Biobank-style “good chaps” theory is good enough for the Single Patient Record?</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C: "relevant advice”</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ab/>
        <w:t xml:space="preserve">Schedule 7, clause 13, line 38:</w:t>
      </w:r>
    </w:p>
    <w:p w:rsidR="00000000" w:rsidDel="00000000" w:rsidP="00000000" w:rsidRDefault="00000000" w:rsidRPr="00000000" w14:paraId="00000061">
      <w:pPr>
        <w:ind w:left="0" w:firstLine="0"/>
        <w:rPr/>
      </w:pPr>
      <w:r w:rsidDel="00000000" w:rsidR="00000000" w:rsidRPr="00000000">
        <w:rPr>
          <w:rtl w:val="0"/>
        </w:rPr>
        <w:tab/>
        <w:tab/>
        <w:t xml:space="preserve">Leave our “relevant advice” and insert “advice”</w:t>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tab/>
        <w:t xml:space="preserve">Explanation: restore this clause to the current text in law</w:t>
      </w:r>
    </w:p>
    <w:p w:rsidR="00000000" w:rsidDel="00000000" w:rsidP="00000000" w:rsidRDefault="00000000" w:rsidRPr="00000000" w14:paraId="00000064">
      <w:pPr>
        <w:ind w:left="0" w:firstLine="0"/>
        <w:rPr/>
      </w:pPr>
      <w:r w:rsidDel="00000000" w:rsidR="00000000" w:rsidRPr="00000000">
        <w:rPr>
          <w:rtl w:val="0"/>
        </w:rPr>
        <w:tab/>
      </w:r>
    </w:p>
    <w:p w:rsidR="00000000" w:rsidDel="00000000" w:rsidP="00000000" w:rsidRDefault="00000000" w:rsidRPr="00000000" w14:paraId="00000065">
      <w:pPr>
        <w:ind w:left="720" w:firstLine="0"/>
        <w:rPr/>
      </w:pPr>
      <w:r w:rsidDel="00000000" w:rsidR="00000000" w:rsidRPr="00000000">
        <w:rPr>
          <w:rtl w:val="0"/>
        </w:rPr>
        <w:t xml:space="preserve">Speaking Note: Can the Minister explain why the word “relevant” is added by his Bill, since surely all advice from the HRA is relevant otherwise HRA would not be providing it?</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tab/>
      </w:r>
    </w:p>
    <w:p w:rsidR="00000000" w:rsidDel="00000000" w:rsidP="00000000" w:rsidRDefault="00000000" w:rsidRPr="00000000" w14:paraId="00000068">
      <w:pPr>
        <w:ind w:left="0" w:firstLine="0"/>
        <w:rPr>
          <w:b w:val="1"/>
          <w:bCs w:val="1"/>
        </w:rPr>
      </w:pPr>
      <w:r w:rsidDel="00000000" w:rsidR="00000000" w:rsidRPr="00000000">
        <w:rPr>
          <w:b w:val="1"/>
          <w:bCs w:val="1"/>
          <w:rtl w:val="0"/>
        </w:rPr>
        <w:t xml:space="preserve">D: Prizes and Cheating</w:t>
      </w:r>
    </w:p>
    <w:p w:rsidR="00000000" w:rsidDel="00000000" w:rsidP="00000000" w:rsidRDefault="00000000" w:rsidRPr="00000000" w14:paraId="00000069">
      <w:pPr>
        <w:ind w:left="0" w:firstLine="0"/>
        <w:rPr>
          <w:b w:val="1"/>
          <w:bCs w:val="1"/>
        </w:rPr>
      </w:pPr>
      <w:r w:rsidDel="00000000" w:rsidR="00000000" w:rsidRPr="00000000">
        <w:rPr>
          <w:rtl w:val="0"/>
        </w:rPr>
      </w:r>
    </w:p>
    <w:p w:rsidR="00000000" w:rsidDel="00000000" w:rsidP="00000000" w:rsidRDefault="00000000" w:rsidRPr="00000000" w14:paraId="0000006A">
      <w:pPr>
        <w:ind w:left="720" w:firstLine="0"/>
        <w:rPr/>
      </w:pPr>
      <w:r w:rsidDel="00000000" w:rsidR="00000000" w:rsidRPr="00000000">
        <w:rPr>
          <w:rtl w:val="0"/>
        </w:rPr>
        <w:t xml:space="preserve">Clause 6, insert into 1CC:</w:t>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ind w:left="1440" w:firstLine="0"/>
        <w:rPr/>
      </w:pPr>
      <w:r w:rsidDel="00000000" w:rsidR="00000000" w:rsidRPr="00000000">
        <w:rPr>
          <w:rtl w:val="0"/>
        </w:rPr>
        <w:t xml:space="preserve">(4) No prize may be lawfully awarded without evidence to ensure patient wishes about their care and uses of their patient information were respected, and no laws were broken.</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720" w:firstLine="0"/>
        <w:rPr/>
      </w:pPr>
      <w:r w:rsidDel="00000000" w:rsidR="00000000" w:rsidRPr="00000000">
        <w:rPr>
          <w:rtl w:val="0"/>
        </w:rPr>
        <w:t xml:space="preserve">Explanation: Prizes incentivise shortcuts and cheating, and those shortcuts should be prohibited.</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720" w:firstLine="0"/>
        <w:rPr/>
      </w:pPr>
      <w:r w:rsidDel="00000000" w:rsidR="00000000" w:rsidRPr="00000000">
        <w:rPr>
          <w:rtl w:val="0"/>
        </w:rPr>
        <w:t xml:space="preserve">Speaking note: Can the Minister confirm that no prize will be won by someone who cheats with patient data or acts unethically? Could Theranos have won this prize? Could the Deepmind / Royal Free deal from 2016 have been eligible if they had different leadership?</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ublications.parliament.uk/pa/bills/cbill/59-02/0009/260009.pdf#page=40" TargetMode="External"/><Relationship Id="rId10" Type="http://schemas.openxmlformats.org/officeDocument/2006/relationships/hyperlink" Target="https://www.ft.com/content/99dcafff-f4e9-4361-8d59-e765ca9fc6f0?syn-25a6b1a6=1" TargetMode="External"/><Relationship Id="rId13" Type="http://schemas.openxmlformats.org/officeDocument/2006/relationships/hyperlink" Target="https://www.hsj.co.uk/liverpool-university-hospitals-nhs-foundation-trust/exclusive-southport-attack-victim-accuses-trust-of-cover-up-over-care-records-breach/7041717.article" TargetMode="External"/><Relationship Id="rId12" Type="http://schemas.openxmlformats.org/officeDocument/2006/relationships/hyperlink" Target="https://www.nottinghampost.com/news/nottingham-news/abhorrent-hospital-staff-looked-nottingham-1091782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times.com/uk/healthcare/article/biobank-data-breach-china-news-zk25qqwpg" TargetMode="External"/><Relationship Id="rId15" Type="http://schemas.openxmlformats.org/officeDocument/2006/relationships/hyperlink" Target="https://www.ukbiobank.ac.uk/news/major-milestone-for-health-research-as-uk-government-decision-enables-access-to-uk-biobank-volunteers-gp-patient-data/" TargetMode="External"/><Relationship Id="rId14" Type="http://schemas.openxmlformats.org/officeDocument/2006/relationships/hyperlink" Target="https://digital.nhs.uk/about-nhs-digital/corporate-information-and-documents/directions-and-data-provision-notices/secretary-of-state-directions/gpes-data-for-consented-research-directions-2026" TargetMode="External"/><Relationship Id="rId5" Type="http://schemas.openxmlformats.org/officeDocument/2006/relationships/styles" Target="styles.xml"/><Relationship Id="rId6" Type="http://schemas.openxmlformats.org/officeDocument/2006/relationships/hyperlink" Target="https://medconfidential.org/2026/wes-streetings-final-bill/" TargetMode="External"/><Relationship Id="rId7" Type="http://schemas.openxmlformats.org/officeDocument/2006/relationships/hyperlink" Target="https://publications.parliament.uk/pa/bills/cbill/59-02/0009/260009.pdf" TargetMode="External"/><Relationship Id="rId8" Type="http://schemas.openxmlformats.org/officeDocument/2006/relationships/hyperlink" Target="https://medconfidential.org/2026/why-the-biobank-breaches-ma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